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6" w:rsidRPr="004F1F16" w:rsidRDefault="004F1F16" w:rsidP="004F1F16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Arial" w:hAnsi="Arial" w:cs="Arial"/>
          <w:b/>
          <w:bCs/>
          <w:kern w:val="36"/>
          <w:sz w:val="20"/>
          <w:szCs w:val="20"/>
        </w:rPr>
      </w:pPr>
      <w:bookmarkStart w:id="0" w:name="_GoBack"/>
      <w:bookmarkEnd w:id="0"/>
      <w:r w:rsidRPr="004F1F16">
        <w:rPr>
          <w:rFonts w:ascii="Arial" w:hAnsi="Arial" w:cs="Arial"/>
          <w:b/>
          <w:bCs/>
          <w:kern w:val="36"/>
          <w:sz w:val="20"/>
          <w:szCs w:val="20"/>
        </w:rPr>
        <w:t xml:space="preserve">Insurance Schedule </w:t>
      </w:r>
    </w:p>
    <w:p w:rsidR="004F1F16" w:rsidRPr="004F1F16" w:rsidRDefault="004F1F16" w:rsidP="004F1F16">
      <w:pPr>
        <w:pStyle w:val="Normal123"/>
        <w:rPr>
          <w:rFonts w:cs="Arial"/>
          <w:sz w:val="20"/>
          <w:szCs w:val="20"/>
        </w:rPr>
      </w:pPr>
      <w:r w:rsidRPr="004F1F16">
        <w:rPr>
          <w:rFonts w:cs="Arial"/>
          <w:b/>
          <w:bCs/>
          <w:sz w:val="20"/>
          <w:szCs w:val="20"/>
        </w:rPr>
        <w:t>CONTRACT OF INSURANCE</w:t>
      </w:r>
      <w:r w:rsidRPr="004F1F16">
        <w:rPr>
          <w:rFonts w:cs="Arial"/>
          <w:sz w:val="20"/>
          <w:szCs w:val="20"/>
        </w:rPr>
        <w:br/>
      </w:r>
      <w:r w:rsidRPr="004F1F16">
        <w:rPr>
          <w:rFonts w:cs="Arial"/>
          <w:sz w:val="20"/>
          <w:szCs w:val="20"/>
        </w:rPr>
        <w:br/>
      </w:r>
      <w:r w:rsidRPr="004F1F16">
        <w:rPr>
          <w:rFonts w:cs="Arial"/>
          <w:b/>
          <w:bCs/>
          <w:sz w:val="20"/>
          <w:szCs w:val="20"/>
        </w:rPr>
        <w:t>Type:</w:t>
      </w:r>
      <w:r w:rsidRPr="004F1F16">
        <w:rPr>
          <w:rFonts w:cs="Arial"/>
          <w:sz w:val="20"/>
          <w:szCs w:val="20"/>
        </w:rPr>
        <w:t xml:space="preserve"> Marine Cargo Insurance.</w:t>
      </w:r>
      <w:r w:rsidRPr="004F1F16">
        <w:rPr>
          <w:rFonts w:cs="Arial"/>
          <w:sz w:val="20"/>
          <w:szCs w:val="20"/>
        </w:rPr>
        <w:br/>
      </w:r>
      <w:r w:rsidRPr="004F1F16">
        <w:rPr>
          <w:rFonts w:cs="Arial"/>
          <w:b/>
          <w:bCs/>
          <w:sz w:val="20"/>
          <w:szCs w:val="20"/>
        </w:rPr>
        <w:br/>
        <w:t>Form:</w:t>
      </w:r>
      <w:r w:rsidRPr="004F1F16">
        <w:rPr>
          <w:rFonts w:cs="Arial"/>
          <w:sz w:val="20"/>
          <w:szCs w:val="20"/>
        </w:rPr>
        <w:t xml:space="preserve"> </w:t>
      </w:r>
      <w:r w:rsidR="00C42D6A">
        <w:rPr>
          <w:rFonts w:eastAsia="Times New Roman" w:cs="Arial"/>
          <w:sz w:val="20"/>
          <w:szCs w:val="20"/>
          <w:lang w:eastAsia="en-GB"/>
        </w:rPr>
        <w:t>MCAB0816</w:t>
      </w:r>
      <w:r w:rsidRPr="004F1F16">
        <w:rPr>
          <w:rFonts w:cs="Arial"/>
          <w:sz w:val="20"/>
          <w:szCs w:val="20"/>
        </w:rPr>
        <w:br/>
      </w:r>
      <w:r w:rsidRPr="004F1F16">
        <w:rPr>
          <w:rFonts w:cs="Arial"/>
          <w:sz w:val="20"/>
          <w:szCs w:val="20"/>
        </w:rPr>
        <w:br/>
      </w:r>
      <w:r w:rsidRPr="004F1F16">
        <w:rPr>
          <w:rFonts w:cs="Arial"/>
          <w:b/>
          <w:bCs/>
          <w:sz w:val="20"/>
          <w:szCs w:val="20"/>
        </w:rPr>
        <w:t>Insured:</w:t>
      </w:r>
      <w:r w:rsidRPr="004F1F16">
        <w:rPr>
          <w:rFonts w:cs="Arial"/>
          <w:sz w:val="20"/>
          <w:szCs w:val="20"/>
        </w:rPr>
        <w:t xml:space="preserve"> Forward2Me Ltd t/a Forward2Me.Com as Agents for whom they receive instructions to insure</w:t>
      </w:r>
      <w:r w:rsidRPr="004F1F16">
        <w:rPr>
          <w:rFonts w:cs="Arial"/>
          <w:sz w:val="20"/>
          <w:szCs w:val="20"/>
        </w:rPr>
        <w:br/>
      </w:r>
      <w:r w:rsidRPr="004F1F16">
        <w:rPr>
          <w:rFonts w:cs="Arial"/>
          <w:sz w:val="20"/>
          <w:szCs w:val="20"/>
        </w:rPr>
        <w:br/>
      </w:r>
      <w:r w:rsidRPr="004F1F16">
        <w:rPr>
          <w:rFonts w:cs="Arial"/>
          <w:b/>
          <w:bCs/>
          <w:sz w:val="20"/>
          <w:szCs w:val="20"/>
        </w:rPr>
        <w:t>Contract Number:</w:t>
      </w:r>
      <w:r w:rsidRPr="004F1F16">
        <w:rPr>
          <w:rFonts w:cs="Arial"/>
          <w:sz w:val="20"/>
          <w:szCs w:val="20"/>
        </w:rPr>
        <w:t xml:space="preserve"> 10191759</w:t>
      </w:r>
      <w:r w:rsidRPr="004F1F16">
        <w:rPr>
          <w:rFonts w:cs="Arial"/>
          <w:sz w:val="20"/>
          <w:szCs w:val="20"/>
        </w:rPr>
        <w:br/>
      </w:r>
      <w:r w:rsidRPr="004F1F16">
        <w:rPr>
          <w:rFonts w:cs="Arial"/>
          <w:sz w:val="20"/>
          <w:szCs w:val="20"/>
        </w:rPr>
        <w:br/>
      </w:r>
      <w:r w:rsidRPr="004F1F16">
        <w:rPr>
          <w:rFonts w:cs="Arial"/>
          <w:b/>
          <w:bCs/>
          <w:sz w:val="20"/>
          <w:szCs w:val="20"/>
        </w:rPr>
        <w:t>Subject Matter Insured:</w:t>
      </w:r>
      <w:r w:rsidRPr="004F1F16">
        <w:rPr>
          <w:rFonts w:cs="Arial"/>
          <w:sz w:val="20"/>
          <w:szCs w:val="20"/>
        </w:rPr>
        <w:t xml:space="preserve"> </w:t>
      </w:r>
    </w:p>
    <w:p w:rsidR="004F1F16" w:rsidRPr="004F1F16" w:rsidRDefault="004F1F16" w:rsidP="004F1F16">
      <w:pPr>
        <w:pStyle w:val="Normal123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Approved General Merchandise: g</w:t>
      </w:r>
      <w:r w:rsidRPr="004F1F16">
        <w:rPr>
          <w:rFonts w:cs="Arial"/>
          <w:sz w:val="20"/>
          <w:szCs w:val="20"/>
        </w:rPr>
        <w:t xml:space="preserve">oods which are not particularly susceptible to breakage, theft, </w:t>
      </w:r>
      <w:proofErr w:type="gramStart"/>
      <w:r w:rsidRPr="004F1F16">
        <w:rPr>
          <w:rFonts w:cs="Arial"/>
          <w:sz w:val="20"/>
          <w:szCs w:val="20"/>
        </w:rPr>
        <w:t>leakage</w:t>
      </w:r>
      <w:proofErr w:type="gramEnd"/>
      <w:r w:rsidRPr="004F1F16">
        <w:rPr>
          <w:rFonts w:cs="Arial"/>
          <w:sz w:val="20"/>
          <w:szCs w:val="20"/>
        </w:rPr>
        <w:t xml:space="preserve"> or water damage. </w:t>
      </w:r>
    </w:p>
    <w:p w:rsidR="004F1F16" w:rsidRPr="004F1F16" w:rsidRDefault="004F1F16" w:rsidP="004F1F16">
      <w:pPr>
        <w:pStyle w:val="StyleNormal123ContentJustified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 xml:space="preserve">The following are NOT regarded as </w:t>
      </w:r>
      <w:r w:rsidRPr="004F1F16">
        <w:rPr>
          <w:rFonts w:cs="Arial"/>
          <w:b/>
          <w:sz w:val="20"/>
          <w:lang w:val="en-GB"/>
        </w:rPr>
        <w:t>Approved General Merchandise</w:t>
      </w:r>
      <w:r w:rsidRPr="004F1F16">
        <w:rPr>
          <w:rFonts w:cs="Arial"/>
          <w:sz w:val="20"/>
          <w:lang w:val="en-GB"/>
        </w:rPr>
        <w:t xml:space="preserve"> and must be referred to </w:t>
      </w:r>
      <w:r w:rsidRPr="004F1F16">
        <w:rPr>
          <w:rFonts w:cs="Arial"/>
          <w:b/>
          <w:sz w:val="20"/>
          <w:lang w:val="en-GB"/>
        </w:rPr>
        <w:t xml:space="preserve">Insurers </w:t>
      </w:r>
      <w:r w:rsidRPr="004F1F16">
        <w:rPr>
          <w:rFonts w:cs="Arial"/>
          <w:sz w:val="20"/>
          <w:lang w:val="en-GB"/>
        </w:rPr>
        <w:t>for applicable Terms and Conditions prior to inception of cover/insurable interest: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Antiques, Artwork and Jewellery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20" w:hanging="323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 xml:space="preserve"> Arms, Ammunition, Military Equipment and any similar goods which should properly be subject to the Export Control Order 2008. </w:t>
      </w:r>
    </w:p>
    <w:p w:rsidR="004F1F16" w:rsidRPr="004F1F16" w:rsidRDefault="00AE480A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Bulk Bagged Goods such as Aggregates, Grains or Similar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Bonds, Deeds, Manuscripts, Securities and Plans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Bulk and Break Bulk Cargoes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Bullion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Cash and Credit Cards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Cement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Cigars, Cigarettes, Tobacco and Tobacco Products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Computer Chips, CPUs and Circuit Boards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Furs, Skins and Hides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Hazardous, Restricted or Controlled Goods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 xml:space="preserve">Household </w:t>
      </w:r>
      <w:r w:rsidR="00AE480A">
        <w:rPr>
          <w:rFonts w:cs="Arial"/>
          <w:sz w:val="20"/>
          <w:lang w:val="en-GB"/>
        </w:rPr>
        <w:t>Removals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Livestock, Plants and Animals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Motor Vehicles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Perishable Foodstuffs and other temperature sensitive commodities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Precious Metals and Stones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spacing w:before="0" w:after="0"/>
        <w:ind w:left="794" w:hanging="397"/>
        <w:rPr>
          <w:rFonts w:cs="Arial"/>
          <w:sz w:val="20"/>
          <w:lang w:val="en-GB"/>
        </w:rPr>
      </w:pPr>
      <w:r w:rsidRPr="004F1F16">
        <w:rPr>
          <w:rFonts w:cs="Arial"/>
          <w:sz w:val="20"/>
          <w:lang w:val="en-GB"/>
        </w:rPr>
        <w:t>Scrap Metals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autoSpaceDE w:val="0"/>
        <w:autoSpaceDN w:val="0"/>
        <w:adjustRightInd w:val="0"/>
        <w:spacing w:before="100" w:after="100" w:line="240" w:lineRule="auto"/>
        <w:ind w:left="794" w:hanging="397"/>
        <w:rPr>
          <w:rFonts w:cs="Arial"/>
          <w:b/>
          <w:bCs/>
          <w:sz w:val="20"/>
        </w:rPr>
      </w:pPr>
      <w:r w:rsidRPr="004F1F16">
        <w:rPr>
          <w:rFonts w:cs="Arial"/>
          <w:sz w:val="20"/>
          <w:lang w:val="en-GB"/>
        </w:rPr>
        <w:t>Stamps and Treasury Notes</w:t>
      </w:r>
    </w:p>
    <w:p w:rsidR="004F1F16" w:rsidRPr="004F1F16" w:rsidRDefault="004F1F16" w:rsidP="004F1F16">
      <w:pPr>
        <w:pStyle w:val="StyleNormal123ContentJustified"/>
        <w:numPr>
          <w:ilvl w:val="0"/>
          <w:numId w:val="1"/>
        </w:numPr>
        <w:tabs>
          <w:tab w:val="clear" w:pos="3768"/>
        </w:tabs>
        <w:autoSpaceDE w:val="0"/>
        <w:autoSpaceDN w:val="0"/>
        <w:adjustRightInd w:val="0"/>
        <w:spacing w:before="100" w:after="100" w:line="240" w:lineRule="auto"/>
        <w:ind w:left="794" w:hanging="397"/>
        <w:rPr>
          <w:rFonts w:cs="Arial"/>
          <w:b/>
          <w:bCs/>
          <w:sz w:val="20"/>
        </w:rPr>
      </w:pPr>
      <w:r w:rsidRPr="004F1F16">
        <w:rPr>
          <w:rFonts w:cs="Arial"/>
          <w:sz w:val="20"/>
          <w:lang w:val="en-GB"/>
        </w:rPr>
        <w:t>Unprotected or Unpacked Goods</w:t>
      </w:r>
      <w:r w:rsidRPr="004F1F16">
        <w:rPr>
          <w:rFonts w:cs="Arial"/>
          <w:b/>
          <w:bCs/>
          <w:sz w:val="20"/>
        </w:rPr>
        <w:t xml:space="preserve"> </w:t>
      </w:r>
    </w:p>
    <w:p w:rsidR="004F1F16" w:rsidRPr="004F1F16" w:rsidRDefault="004F1F16" w:rsidP="004F1F1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F16" w:rsidRDefault="004F1F16" w:rsidP="004F1F1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4F1F16">
        <w:rPr>
          <w:rFonts w:ascii="Arial" w:hAnsi="Arial" w:cs="Arial"/>
          <w:b/>
          <w:bCs/>
          <w:sz w:val="20"/>
          <w:szCs w:val="20"/>
        </w:rPr>
        <w:t>Packing:</w:t>
      </w:r>
      <w:r w:rsidRPr="004F1F16">
        <w:rPr>
          <w:rFonts w:ascii="Arial" w:hAnsi="Arial" w:cs="Arial"/>
          <w:sz w:val="20"/>
          <w:szCs w:val="20"/>
        </w:rPr>
        <w:t xml:space="preserve"> To be suitably packed or protected for transit.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b/>
          <w:bCs/>
          <w:sz w:val="20"/>
          <w:szCs w:val="20"/>
        </w:rPr>
        <w:t xml:space="preserve">Per: </w:t>
      </w:r>
      <w:r w:rsidRPr="004F1F16">
        <w:rPr>
          <w:rFonts w:ascii="Arial" w:hAnsi="Arial" w:cs="Arial"/>
          <w:sz w:val="20"/>
          <w:szCs w:val="20"/>
        </w:rPr>
        <w:t>Approved Powered Vessel (as per Institute Classification Clause) and/or Airfreight and/or Rail and/or Road Vehicles (excluding vehicles owned or operated by the Insured unless a limit has been entered below).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lastRenderedPageBreak/>
        <w:br/>
      </w:r>
      <w:r w:rsidRPr="004F1F16">
        <w:rPr>
          <w:rFonts w:ascii="Arial" w:hAnsi="Arial" w:cs="Arial"/>
          <w:b/>
          <w:bCs/>
          <w:sz w:val="20"/>
          <w:szCs w:val="20"/>
        </w:rPr>
        <w:t>Limits:</w:t>
      </w:r>
      <w:r w:rsidRPr="004F1F16">
        <w:rPr>
          <w:rFonts w:ascii="Arial" w:hAnsi="Arial" w:cs="Arial"/>
          <w:sz w:val="20"/>
          <w:szCs w:val="20"/>
        </w:rPr>
        <w:t xml:space="preserve"> </w:t>
      </w:r>
    </w:p>
    <w:p w:rsidR="00AE480A" w:rsidRDefault="00AE480A" w:rsidP="004F1F1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 any one customer consignment GBP 5,000</w:t>
      </w:r>
    </w:p>
    <w:p w:rsidR="00AE480A" w:rsidRPr="004F1F16" w:rsidRDefault="00AE480A" w:rsidP="004F1F1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</w:p>
    <w:p w:rsidR="004F1F16" w:rsidRPr="0066364D" w:rsidRDefault="004F1F16" w:rsidP="004F1F16">
      <w:pPr>
        <w:spacing w:after="60" w:line="288" w:lineRule="auto"/>
        <w:rPr>
          <w:rFonts w:ascii="Arial" w:hAnsi="Arial" w:cs="Arial"/>
          <w:sz w:val="20"/>
          <w:szCs w:val="20"/>
        </w:rPr>
      </w:pPr>
      <w:r w:rsidRPr="004F1F16">
        <w:rPr>
          <w:rFonts w:ascii="Arial" w:hAnsi="Arial" w:cs="Arial"/>
          <w:sz w:val="20"/>
          <w:szCs w:val="20"/>
        </w:rPr>
        <w:t>Limit any one Vess</w:t>
      </w:r>
      <w:r w:rsidR="00AE480A">
        <w:rPr>
          <w:rFonts w:ascii="Arial" w:hAnsi="Arial" w:cs="Arial"/>
          <w:sz w:val="20"/>
          <w:szCs w:val="20"/>
        </w:rPr>
        <w:t>el, Aircraft or Conveyance GBP 50,</w:t>
      </w:r>
      <w:r w:rsidRPr="004F1F16">
        <w:rPr>
          <w:rFonts w:ascii="Arial" w:hAnsi="Arial" w:cs="Arial"/>
          <w:sz w:val="20"/>
          <w:szCs w:val="20"/>
        </w:rPr>
        <w:t>000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  <w:t>Limit any one Location in the ordinary course of transit GBP</w:t>
      </w:r>
      <w:r w:rsidR="00AE480A">
        <w:rPr>
          <w:rFonts w:ascii="Arial" w:hAnsi="Arial" w:cs="Arial"/>
          <w:sz w:val="20"/>
          <w:szCs w:val="20"/>
        </w:rPr>
        <w:t xml:space="preserve"> </w:t>
      </w:r>
      <w:r w:rsidRPr="004F1F16">
        <w:rPr>
          <w:rFonts w:ascii="Arial" w:hAnsi="Arial" w:cs="Arial"/>
          <w:sz w:val="20"/>
          <w:szCs w:val="20"/>
        </w:rPr>
        <w:t>5</w:t>
      </w:r>
      <w:r w:rsidR="00AE480A">
        <w:rPr>
          <w:rFonts w:ascii="Arial" w:hAnsi="Arial" w:cs="Arial"/>
          <w:sz w:val="20"/>
          <w:szCs w:val="20"/>
        </w:rPr>
        <w:t>0</w:t>
      </w:r>
      <w:r w:rsidRPr="004F1F16">
        <w:rPr>
          <w:rFonts w:ascii="Arial" w:hAnsi="Arial" w:cs="Arial"/>
          <w:sz w:val="20"/>
          <w:szCs w:val="20"/>
        </w:rPr>
        <w:t>,000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  <w:t>Limit any one Vehicle Owned or Operated by the Insured NIL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  <w:t>Limit any one Postal Sending GBP</w:t>
      </w:r>
      <w:r w:rsidR="00AE480A">
        <w:rPr>
          <w:rFonts w:ascii="Arial" w:hAnsi="Arial" w:cs="Arial"/>
          <w:sz w:val="20"/>
          <w:szCs w:val="20"/>
        </w:rPr>
        <w:t xml:space="preserve"> </w:t>
      </w:r>
      <w:r w:rsidRPr="004F1F16">
        <w:rPr>
          <w:rFonts w:ascii="Arial" w:hAnsi="Arial" w:cs="Arial"/>
          <w:sz w:val="20"/>
          <w:szCs w:val="20"/>
        </w:rPr>
        <w:t>5,000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  <w:t>Limit any one Exhibition NIL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  <w:t>Limit any one Storage Location NIL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b/>
          <w:bCs/>
          <w:sz w:val="20"/>
          <w:szCs w:val="20"/>
        </w:rPr>
        <w:t>Voyage:</w:t>
      </w:r>
      <w:r w:rsidRPr="004F1F16">
        <w:rPr>
          <w:rFonts w:ascii="Arial" w:hAnsi="Arial" w:cs="Arial"/>
          <w:sz w:val="20"/>
          <w:szCs w:val="20"/>
        </w:rPr>
        <w:t xml:space="preserve"> From the time goods are re</w:t>
      </w:r>
      <w:r w:rsidR="00AE480A">
        <w:rPr>
          <w:rFonts w:ascii="Arial" w:hAnsi="Arial" w:cs="Arial"/>
          <w:sz w:val="20"/>
          <w:szCs w:val="20"/>
        </w:rPr>
        <w:t>ceived at the Insured’s Forward2</w:t>
      </w:r>
      <w:r w:rsidRPr="004F1F16">
        <w:rPr>
          <w:rFonts w:ascii="Arial" w:hAnsi="Arial" w:cs="Arial"/>
          <w:sz w:val="20"/>
          <w:szCs w:val="20"/>
        </w:rPr>
        <w:t>me.com UK address until delivery to the final oversees destination or cover terminates under the Transit Clause of the Institute Cargo Clauses contained herein.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</w:r>
      <w:r w:rsidRPr="0066364D">
        <w:rPr>
          <w:rFonts w:ascii="Arial" w:hAnsi="Arial" w:cs="Arial"/>
          <w:sz w:val="20"/>
          <w:szCs w:val="20"/>
        </w:rPr>
        <w:t xml:space="preserve">The following territories are excluded unless specially declared and accepted by Insurers in writing prior to shipment: </w:t>
      </w:r>
    </w:p>
    <w:p w:rsidR="004F1F16" w:rsidRPr="0066364D" w:rsidRDefault="004F1F16" w:rsidP="004F1F16">
      <w:pPr>
        <w:spacing w:after="60" w:line="288" w:lineRule="auto"/>
        <w:rPr>
          <w:rFonts w:ascii="Arial" w:hAnsi="Arial" w:cs="Arial"/>
          <w:sz w:val="20"/>
          <w:szCs w:val="20"/>
        </w:rPr>
      </w:pPr>
      <w:r w:rsidRPr="0066364D">
        <w:rPr>
          <w:rFonts w:ascii="Arial" w:hAnsi="Arial" w:cs="Arial"/>
          <w:sz w:val="20"/>
          <w:szCs w:val="20"/>
        </w:rPr>
        <w:t>Afghanistan, Angola, Cuba, Eritrea, Ethiopia, Iran, Iraq, Kyrgyzstan, Liberia, Myanmar, Nigeria, North Korea, Rwanda, Sierra Leone, Somalia, Sudan, Syria, Tajikistan, Turkmenistan, Uzbekistan, and Zimbabwe and any other country where their local legislation decrees insurance must be effected locally.</w:t>
      </w:r>
    </w:p>
    <w:p w:rsidR="004F1F16" w:rsidRPr="004F1F16" w:rsidRDefault="004F1F16" w:rsidP="004F1F1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b/>
          <w:bCs/>
          <w:sz w:val="20"/>
          <w:szCs w:val="20"/>
        </w:rPr>
        <w:t>Basis of Valuation:</w:t>
      </w:r>
      <w:r w:rsidRPr="004F1F16">
        <w:rPr>
          <w:rFonts w:ascii="Arial" w:hAnsi="Arial" w:cs="Arial"/>
          <w:sz w:val="20"/>
          <w:szCs w:val="20"/>
        </w:rPr>
        <w:t xml:space="preserve"> Purchase Value of Goods plus freight.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b/>
          <w:bCs/>
          <w:sz w:val="20"/>
          <w:szCs w:val="20"/>
        </w:rPr>
        <w:t>Period of Insurance:</w:t>
      </w:r>
      <w:r w:rsidRPr="004F1F16">
        <w:rPr>
          <w:rFonts w:ascii="Arial" w:hAnsi="Arial" w:cs="Arial"/>
          <w:sz w:val="20"/>
          <w:szCs w:val="20"/>
        </w:rPr>
        <w:t xml:space="preserve"> </w:t>
      </w:r>
    </w:p>
    <w:p w:rsidR="004F1F16" w:rsidRPr="004F1F16" w:rsidRDefault="004F1F16" w:rsidP="004F1F1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  <w:proofErr w:type="gramStart"/>
      <w:r w:rsidRPr="004F1F16">
        <w:rPr>
          <w:rFonts w:ascii="Arial" w:hAnsi="Arial" w:cs="Arial"/>
          <w:b/>
          <w:sz w:val="20"/>
          <w:szCs w:val="20"/>
        </w:rPr>
        <w:t xml:space="preserve">FROM </w:t>
      </w:r>
      <w:r w:rsidRPr="004F1F16">
        <w:rPr>
          <w:rFonts w:ascii="Arial" w:hAnsi="Arial" w:cs="Arial"/>
          <w:sz w:val="20"/>
          <w:szCs w:val="20"/>
        </w:rPr>
        <w:t xml:space="preserve"> 01</w:t>
      </w:r>
      <w:proofErr w:type="gramEnd"/>
      <w:r w:rsidRPr="004F1F16">
        <w:rPr>
          <w:rFonts w:ascii="Arial" w:hAnsi="Arial" w:cs="Arial"/>
          <w:sz w:val="20"/>
          <w:szCs w:val="20"/>
        </w:rPr>
        <w:t>/02/201</w:t>
      </w:r>
      <w:r w:rsidR="00C42D6A">
        <w:rPr>
          <w:rFonts w:ascii="Arial" w:hAnsi="Arial" w:cs="Arial"/>
          <w:sz w:val="20"/>
          <w:szCs w:val="20"/>
        </w:rPr>
        <w:t>8</w:t>
      </w:r>
      <w:r w:rsidRPr="004F1F16">
        <w:rPr>
          <w:rFonts w:ascii="Arial" w:hAnsi="Arial" w:cs="Arial"/>
          <w:sz w:val="20"/>
          <w:szCs w:val="20"/>
        </w:rPr>
        <w:t xml:space="preserve">  00:00 *</w:t>
      </w:r>
    </w:p>
    <w:p w:rsidR="004F1F16" w:rsidRPr="004F1F16" w:rsidRDefault="004F1F16" w:rsidP="004F1F16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4F1F16">
        <w:rPr>
          <w:rFonts w:ascii="Arial" w:hAnsi="Arial" w:cs="Arial"/>
          <w:sz w:val="20"/>
          <w:szCs w:val="20"/>
        </w:rPr>
        <w:t xml:space="preserve">* local standard time at place of issue </w:t>
      </w:r>
      <w:r w:rsidRPr="004F1F16">
        <w:rPr>
          <w:rFonts w:ascii="Arial" w:hAnsi="Arial" w:cs="Arial"/>
          <w:b/>
          <w:sz w:val="20"/>
          <w:szCs w:val="20"/>
        </w:rPr>
        <w:t>FOR 12 CALENDAR MONTHS</w:t>
      </w:r>
      <w:r w:rsidRPr="004F1F16">
        <w:rPr>
          <w:rFonts w:ascii="Arial" w:hAnsi="Arial" w:cs="Arial"/>
          <w:sz w:val="20"/>
          <w:szCs w:val="20"/>
        </w:rPr>
        <w:t xml:space="preserve"> and for such further periods as may be mutually agreed in writing by </w:t>
      </w:r>
      <w:r w:rsidRPr="004F1F16">
        <w:rPr>
          <w:rFonts w:ascii="Arial" w:hAnsi="Arial" w:cs="Arial"/>
          <w:b/>
          <w:sz w:val="20"/>
          <w:szCs w:val="20"/>
        </w:rPr>
        <w:t>Insurers</w:t>
      </w:r>
      <w:r w:rsidRPr="004F1F16">
        <w:rPr>
          <w:rFonts w:ascii="Arial" w:hAnsi="Arial" w:cs="Arial"/>
          <w:sz w:val="20"/>
          <w:szCs w:val="20"/>
        </w:rPr>
        <w:t xml:space="preserve"> and </w:t>
      </w:r>
      <w:r w:rsidRPr="004F1F16">
        <w:rPr>
          <w:rFonts w:ascii="Arial" w:hAnsi="Arial" w:cs="Arial"/>
          <w:b/>
          <w:sz w:val="20"/>
          <w:szCs w:val="20"/>
        </w:rPr>
        <w:t>Assured</w:t>
      </w:r>
      <w:r w:rsidRPr="004F1F16">
        <w:rPr>
          <w:rFonts w:ascii="Arial" w:hAnsi="Arial" w:cs="Arial"/>
          <w:sz w:val="20"/>
          <w:szCs w:val="20"/>
        </w:rPr>
        <w:t>.</w:t>
      </w:r>
    </w:p>
    <w:p w:rsidR="004F1F16" w:rsidRPr="004F1F16" w:rsidRDefault="004F1F16" w:rsidP="004F1F1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b/>
          <w:bCs/>
          <w:sz w:val="20"/>
          <w:szCs w:val="20"/>
        </w:rPr>
        <w:t xml:space="preserve">Insurance Premium Tax: </w:t>
      </w:r>
      <w:r w:rsidRPr="004F1F16">
        <w:rPr>
          <w:rFonts w:ascii="Arial" w:hAnsi="Arial" w:cs="Arial"/>
          <w:sz w:val="20"/>
          <w:szCs w:val="20"/>
        </w:rPr>
        <w:t>As applicable.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b/>
          <w:bCs/>
          <w:sz w:val="20"/>
          <w:szCs w:val="20"/>
        </w:rPr>
        <w:t xml:space="preserve">Conditions: </w:t>
      </w:r>
      <w:r w:rsidRPr="004F1F16">
        <w:rPr>
          <w:rFonts w:ascii="Arial" w:hAnsi="Arial" w:cs="Arial"/>
          <w:sz w:val="20"/>
          <w:szCs w:val="20"/>
        </w:rPr>
        <w:t>Marine Cargo Conditions for Forward2me.com, as attached.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b/>
          <w:bCs/>
          <w:sz w:val="20"/>
          <w:szCs w:val="20"/>
        </w:rPr>
        <w:t>Special Conditions/Exclusions:</w:t>
      </w:r>
      <w:r w:rsidRPr="004F1F16">
        <w:rPr>
          <w:rFonts w:ascii="Arial" w:hAnsi="Arial" w:cs="Arial"/>
          <w:sz w:val="20"/>
          <w:szCs w:val="20"/>
        </w:rPr>
        <w:t xml:space="preserve"> Excluding Electrical and/or Electronic and/or Mechanical Derangement.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b/>
          <w:bCs/>
          <w:sz w:val="20"/>
          <w:szCs w:val="20"/>
        </w:rPr>
        <w:t>Reconditioned or Second-hand Goods</w:t>
      </w:r>
      <w:r w:rsidRPr="004F1F16">
        <w:rPr>
          <w:rFonts w:ascii="Arial" w:hAnsi="Arial" w:cs="Arial"/>
          <w:sz w:val="20"/>
          <w:szCs w:val="20"/>
        </w:rPr>
        <w:br/>
      </w:r>
    </w:p>
    <w:p w:rsidR="004F1F16" w:rsidRPr="004F1F16" w:rsidRDefault="004F1F16" w:rsidP="004F1F16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gramStart"/>
      <w:r w:rsidRPr="004F1F16">
        <w:rPr>
          <w:rFonts w:ascii="Arial" w:eastAsia="Times New Roman" w:hAnsi="Arial" w:cs="Arial"/>
          <w:sz w:val="20"/>
          <w:szCs w:val="20"/>
          <w:lang w:eastAsia="en-GB"/>
        </w:rPr>
        <w:t>Excluding Electrical and/or Electronic and/or Mechanical Derangement.</w:t>
      </w:r>
      <w:proofErr w:type="gramEnd"/>
    </w:p>
    <w:p w:rsidR="004F1F16" w:rsidRPr="004F1F16" w:rsidRDefault="004F1F16" w:rsidP="004F1F16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1F1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Reconditioned or Second-hand Goods: </w:t>
      </w:r>
      <w:r w:rsidRPr="004F1F16">
        <w:rPr>
          <w:rFonts w:ascii="Arial" w:eastAsia="Times New Roman" w:hAnsi="Arial" w:cs="Arial"/>
          <w:sz w:val="20"/>
          <w:szCs w:val="20"/>
          <w:lang w:eastAsia="en-GB"/>
        </w:rPr>
        <w:t>Excluding Rust, Oxidisation, Discolouration, Scratching, Bruising, Chipping, Denting, Marring and Cost of Repainting.</w:t>
      </w:r>
    </w:p>
    <w:p w:rsidR="004F1F16" w:rsidRPr="004F1F16" w:rsidRDefault="004F1F16" w:rsidP="004F1F1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b/>
          <w:bCs/>
          <w:sz w:val="20"/>
          <w:szCs w:val="20"/>
        </w:rPr>
        <w:t>Notice of Cancellation:</w:t>
      </w:r>
      <w:r w:rsidRPr="004F1F16">
        <w:rPr>
          <w:rFonts w:ascii="Arial" w:hAnsi="Arial" w:cs="Arial"/>
          <w:sz w:val="20"/>
          <w:szCs w:val="20"/>
        </w:rPr>
        <w:t xml:space="preserve"> Subject to 30 </w:t>
      </w:r>
      <w:proofErr w:type="spellStart"/>
      <w:r w:rsidRPr="004F1F16">
        <w:rPr>
          <w:rFonts w:ascii="Arial" w:hAnsi="Arial" w:cs="Arial"/>
          <w:sz w:val="20"/>
          <w:szCs w:val="20"/>
        </w:rPr>
        <w:t>days Notice</w:t>
      </w:r>
      <w:proofErr w:type="spellEnd"/>
      <w:r w:rsidRPr="004F1F16">
        <w:rPr>
          <w:rFonts w:ascii="Arial" w:hAnsi="Arial" w:cs="Arial"/>
          <w:sz w:val="20"/>
          <w:szCs w:val="20"/>
        </w:rPr>
        <w:t xml:space="preserve"> of Cancellation by either side in respect of Marine Risks and seven </w:t>
      </w:r>
      <w:proofErr w:type="spellStart"/>
      <w:r w:rsidRPr="004F1F16">
        <w:rPr>
          <w:rFonts w:ascii="Arial" w:hAnsi="Arial" w:cs="Arial"/>
          <w:sz w:val="20"/>
          <w:szCs w:val="20"/>
        </w:rPr>
        <w:t>days notice</w:t>
      </w:r>
      <w:proofErr w:type="spellEnd"/>
      <w:r w:rsidRPr="004F1F16">
        <w:rPr>
          <w:rFonts w:ascii="Arial" w:hAnsi="Arial" w:cs="Arial"/>
          <w:sz w:val="20"/>
          <w:szCs w:val="20"/>
        </w:rPr>
        <w:t xml:space="preserve"> in respect of War and Strikes Risks except for voyages to or from United States of America where 48 </w:t>
      </w:r>
      <w:proofErr w:type="spellStart"/>
      <w:r w:rsidRPr="004F1F16">
        <w:rPr>
          <w:rFonts w:ascii="Arial" w:hAnsi="Arial" w:cs="Arial"/>
          <w:sz w:val="20"/>
          <w:szCs w:val="20"/>
        </w:rPr>
        <w:t>hours notice</w:t>
      </w:r>
      <w:proofErr w:type="spellEnd"/>
      <w:r w:rsidRPr="004F1F16">
        <w:rPr>
          <w:rFonts w:ascii="Arial" w:hAnsi="Arial" w:cs="Arial"/>
          <w:sz w:val="20"/>
          <w:szCs w:val="20"/>
        </w:rPr>
        <w:t xml:space="preserve"> shall apply in respect of Strikes Risks. Such cancellations, however, shall not apply to any transit risk or risks which shall have attached at the time such cancellation becomes effective.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lastRenderedPageBreak/>
        <w:br/>
      </w:r>
      <w:r w:rsidRPr="004F1F16">
        <w:rPr>
          <w:rFonts w:ascii="Arial" w:hAnsi="Arial" w:cs="Arial"/>
          <w:b/>
          <w:bCs/>
          <w:sz w:val="20"/>
          <w:szCs w:val="20"/>
        </w:rPr>
        <w:t>Claims:</w:t>
      </w:r>
      <w:r w:rsidRPr="004F1F16">
        <w:rPr>
          <w:rFonts w:ascii="Arial" w:hAnsi="Arial" w:cs="Arial"/>
          <w:sz w:val="20"/>
          <w:szCs w:val="20"/>
        </w:rPr>
        <w:t xml:space="preserve"> In the event of loss or damage which may involve a claim under this Contract please refer to the Claims Procedures contained in the Marine Cargo Policy Summary</w:t>
      </w:r>
      <w:r w:rsidRPr="004F1F16">
        <w:rPr>
          <w:rFonts w:ascii="Arial" w:hAnsi="Arial" w:cs="Arial"/>
          <w:sz w:val="20"/>
          <w:szCs w:val="20"/>
        </w:rPr>
        <w:br/>
      </w:r>
      <w:r w:rsidRPr="004F1F16">
        <w:rPr>
          <w:rFonts w:ascii="Arial" w:hAnsi="Arial" w:cs="Arial"/>
          <w:sz w:val="20"/>
          <w:szCs w:val="20"/>
        </w:rPr>
        <w:br/>
        <w:t>THIS INSURANCE IS SUBJECT TO ENGLISH LAW AND PRACTICE.</w:t>
      </w:r>
    </w:p>
    <w:p w:rsidR="009E1159" w:rsidRPr="004F1F16" w:rsidRDefault="009E1159">
      <w:pPr>
        <w:rPr>
          <w:rFonts w:ascii="Arial" w:hAnsi="Arial" w:cs="Arial"/>
          <w:sz w:val="20"/>
          <w:szCs w:val="20"/>
        </w:rPr>
      </w:pPr>
    </w:p>
    <w:sectPr w:rsidR="009E1159" w:rsidRPr="004F1F16" w:rsidSect="0030468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5DD"/>
    <w:multiLevelType w:val="hybridMultilevel"/>
    <w:tmpl w:val="E8BAB216"/>
    <w:lvl w:ilvl="0" w:tplc="303AAC5C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16"/>
    <w:rsid w:val="004F1F16"/>
    <w:rsid w:val="0066364D"/>
    <w:rsid w:val="009E1159"/>
    <w:rsid w:val="00AE480A"/>
    <w:rsid w:val="00C42D6A"/>
    <w:rsid w:val="00F3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4F1F1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4F1F16"/>
    <w:rPr>
      <w:b/>
      <w:bCs/>
    </w:rPr>
  </w:style>
  <w:style w:type="paragraph" w:customStyle="1" w:styleId="Normal123">
    <w:name w:val="Normal 123"/>
    <w:basedOn w:val="Normal"/>
    <w:link w:val="Normal123Char"/>
    <w:rsid w:val="004F1F16"/>
    <w:pPr>
      <w:tabs>
        <w:tab w:val="left" w:pos="397"/>
      </w:tabs>
      <w:spacing w:before="240" w:after="120" w:line="312" w:lineRule="auto"/>
      <w:ind w:left="397" w:hanging="397"/>
    </w:pPr>
    <w:rPr>
      <w:rFonts w:ascii="Arial" w:eastAsia="SimSun" w:hAnsi="Arial" w:cs="Times New Roman"/>
      <w:sz w:val="18"/>
      <w:szCs w:val="24"/>
      <w:lang w:eastAsia="zh-CN"/>
    </w:rPr>
  </w:style>
  <w:style w:type="character" w:customStyle="1" w:styleId="Normal123Char">
    <w:name w:val="Normal 123 Char"/>
    <w:link w:val="Normal123"/>
    <w:rsid w:val="004F1F16"/>
    <w:rPr>
      <w:rFonts w:ascii="Arial" w:eastAsia="SimSun" w:hAnsi="Arial" w:cs="Times New Roman"/>
      <w:sz w:val="18"/>
      <w:szCs w:val="24"/>
      <w:lang w:eastAsia="zh-CN"/>
    </w:rPr>
  </w:style>
  <w:style w:type="paragraph" w:customStyle="1" w:styleId="StyleNormal123ContentJustified">
    <w:name w:val="Style Normal 123 Content + Justified"/>
    <w:basedOn w:val="Normal"/>
    <w:link w:val="StyleNormal123ContentJustifiedChar"/>
    <w:rsid w:val="004F1F16"/>
    <w:pPr>
      <w:spacing w:before="120" w:after="120" w:line="312" w:lineRule="auto"/>
      <w:ind w:left="397"/>
      <w:jc w:val="both"/>
    </w:pPr>
    <w:rPr>
      <w:rFonts w:ascii="Arial" w:eastAsia="Times New Roman" w:hAnsi="Arial" w:cs="Times New Roman"/>
      <w:sz w:val="18"/>
      <w:szCs w:val="20"/>
      <w:lang w:val="fr-BE" w:eastAsia="zh-CN"/>
    </w:rPr>
  </w:style>
  <w:style w:type="character" w:customStyle="1" w:styleId="StyleNormal123ContentJustifiedChar">
    <w:name w:val="Style Normal 123 Content + Justified Char"/>
    <w:basedOn w:val="DefaultParagraphFont"/>
    <w:link w:val="StyleNormal123ContentJustified"/>
    <w:rsid w:val="004F1F16"/>
    <w:rPr>
      <w:rFonts w:ascii="Arial" w:eastAsia="Times New Roman" w:hAnsi="Arial" w:cs="Times New Roman"/>
      <w:sz w:val="18"/>
      <w:szCs w:val="20"/>
      <w:lang w:val="fr-B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4F1F1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4F1F16"/>
    <w:rPr>
      <w:b/>
      <w:bCs/>
    </w:rPr>
  </w:style>
  <w:style w:type="paragraph" w:customStyle="1" w:styleId="Normal123">
    <w:name w:val="Normal 123"/>
    <w:basedOn w:val="Normal"/>
    <w:link w:val="Normal123Char"/>
    <w:rsid w:val="004F1F16"/>
    <w:pPr>
      <w:tabs>
        <w:tab w:val="left" w:pos="397"/>
      </w:tabs>
      <w:spacing w:before="240" w:after="120" w:line="312" w:lineRule="auto"/>
      <w:ind w:left="397" w:hanging="397"/>
    </w:pPr>
    <w:rPr>
      <w:rFonts w:ascii="Arial" w:eastAsia="SimSun" w:hAnsi="Arial" w:cs="Times New Roman"/>
      <w:sz w:val="18"/>
      <w:szCs w:val="24"/>
      <w:lang w:eastAsia="zh-CN"/>
    </w:rPr>
  </w:style>
  <w:style w:type="character" w:customStyle="1" w:styleId="Normal123Char">
    <w:name w:val="Normal 123 Char"/>
    <w:link w:val="Normal123"/>
    <w:rsid w:val="004F1F16"/>
    <w:rPr>
      <w:rFonts w:ascii="Arial" w:eastAsia="SimSun" w:hAnsi="Arial" w:cs="Times New Roman"/>
      <w:sz w:val="18"/>
      <w:szCs w:val="24"/>
      <w:lang w:eastAsia="zh-CN"/>
    </w:rPr>
  </w:style>
  <w:style w:type="paragraph" w:customStyle="1" w:styleId="StyleNormal123ContentJustified">
    <w:name w:val="Style Normal 123 Content + Justified"/>
    <w:basedOn w:val="Normal"/>
    <w:link w:val="StyleNormal123ContentJustifiedChar"/>
    <w:rsid w:val="004F1F16"/>
    <w:pPr>
      <w:spacing w:before="120" w:after="120" w:line="312" w:lineRule="auto"/>
      <w:ind w:left="397"/>
      <w:jc w:val="both"/>
    </w:pPr>
    <w:rPr>
      <w:rFonts w:ascii="Arial" w:eastAsia="Times New Roman" w:hAnsi="Arial" w:cs="Times New Roman"/>
      <w:sz w:val="18"/>
      <w:szCs w:val="20"/>
      <w:lang w:val="fr-BE" w:eastAsia="zh-CN"/>
    </w:rPr>
  </w:style>
  <w:style w:type="character" w:customStyle="1" w:styleId="StyleNormal123ContentJustifiedChar">
    <w:name w:val="Style Normal 123 Content + Justified Char"/>
    <w:basedOn w:val="DefaultParagraphFont"/>
    <w:link w:val="StyleNormal123ContentJustified"/>
    <w:rsid w:val="004F1F16"/>
    <w:rPr>
      <w:rFonts w:ascii="Arial" w:eastAsia="Times New Roman" w:hAnsi="Arial" w:cs="Times New Roman"/>
      <w:sz w:val="18"/>
      <w:szCs w:val="20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Slack,Michael</dc:creator>
  <cp:lastModifiedBy>Slack,Michael</cp:lastModifiedBy>
  <cp:revision>2</cp:revision>
  <dcterms:created xsi:type="dcterms:W3CDTF">2018-01-31T14:06:00Z</dcterms:created>
  <dcterms:modified xsi:type="dcterms:W3CDTF">2018-01-31T14:06:00Z</dcterms:modified>
</cp:coreProperties>
</file>